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98" w:rsidRPr="00045B56" w:rsidRDefault="00D53998" w:rsidP="00D53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качества условий реализации ООП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998" w:rsidRPr="00860ABE" w:rsidRDefault="00D53998" w:rsidP="00D53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>
        <w:rPr>
          <w:rFonts w:ascii="Times New Roman" w:hAnsi="Times New Roman"/>
          <w:sz w:val="28"/>
          <w:szCs w:val="28"/>
        </w:rPr>
        <w:t>Установить соответствие материально-технической базы требованиям нормативно-правовых актов и основной образовательной программы ДОО.</w:t>
      </w:r>
    </w:p>
    <w:p w:rsidR="00D53998" w:rsidRPr="000A2CC7" w:rsidRDefault="00D53998" w:rsidP="00D539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D53998" w:rsidRPr="008B680E" w:rsidTr="00B416B8">
        <w:tc>
          <w:tcPr>
            <w:tcW w:w="6087" w:type="dxa"/>
          </w:tcPr>
          <w:p w:rsidR="00D53998" w:rsidRPr="008B680E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D53998" w:rsidRPr="008B680E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D53998" w:rsidRPr="008B680E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3998" w:rsidRPr="008B680E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D53998" w:rsidRPr="008B680E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D53998" w:rsidRPr="008B680E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53998" w:rsidRPr="00BD3485" w:rsidTr="00B416B8">
        <w:trPr>
          <w:trHeight w:val="673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1. Материально-техническая база ДОО обеспечивает максимальную реализацию образовательного потенциала пространства групповых помещений 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97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2. Материально-техническая база ДОО обеспечивает максимальную реализацию образовательного потенциала пространства функциональных помещений 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3. Материально-техническая база ДОО обеспечивает максимальную реализацию образовательного потенциала пространства территории 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В ДОО созданы оптимальные технико-технологические условия для эффективного использования ТСО (технических средств обучения) и </w:t>
            </w:r>
            <w:proofErr w:type="spellStart"/>
            <w:proofErr w:type="gramStart"/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 в образовательной деятельности. 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В ДОО имеются </w:t>
            </w:r>
            <w:proofErr w:type="gramStart"/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необходимые</w:t>
            </w:r>
            <w:proofErr w:type="gramEnd"/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 ТСО, обеспечивающие деятельность по организационно-методическому сопровождению образовательного процесса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Обеспечена интеграция информационно-коммуникационной среды в развивающую предметно-пространственную среду дошкольного образовательного учреждения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Обеспечено эффективное использование ТСО (в т.ч. ИКТ) информационных компьютерных технологий в образовательном процессе дошкольного образовательного учреждения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98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 высокий уровень информационной культуры всех участников образовательных отношений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860ABE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Обеспечено взаимодействие с родителями воспитанников посредством сайта дошкольного образовательного учреждения и других информационных средств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Pr="009B261B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10. 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Оборудование, мебель, средства обучения соответствует требованиям </w:t>
            </w:r>
            <w:proofErr w:type="spellStart"/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 xml:space="preserve"> 2.4.1.3049-13 (</w:t>
            </w:r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раздел VI Требования к размещению оборудования в помещениях ДОО, таблица № 1 </w:t>
            </w:r>
            <w:proofErr w:type="spellStart"/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2.4.1.3049-13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Pr="009B261B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Игрушки соответствует требованиям, установленным техническими регламентами</w:t>
            </w:r>
          </w:p>
          <w:p w:rsidR="00D53998" w:rsidRPr="0072514A" w:rsidRDefault="00D53998" w:rsidP="00B416B8">
            <w:pPr>
              <w:pStyle w:val="Default"/>
              <w:spacing w:after="120"/>
              <w:rPr>
                <w:rFonts w:eastAsia="Calibri"/>
                <w:i/>
                <w:iCs/>
                <w:color w:val="auto"/>
                <w:lang w:eastAsia="en-US"/>
              </w:rPr>
            </w:pPr>
            <w:r>
              <w:rPr>
                <w:rFonts w:eastAsia="Calibri"/>
                <w:i/>
                <w:iCs/>
                <w:color w:val="auto"/>
                <w:lang w:eastAsia="en-US"/>
              </w:rPr>
              <w:t>(</w:t>
            </w:r>
            <w:r w:rsidRPr="0072514A">
              <w:rPr>
                <w:rFonts w:eastAsia="Calibri"/>
                <w:i/>
                <w:iCs/>
                <w:color w:val="auto"/>
                <w:lang w:eastAsia="en-US"/>
              </w:rPr>
              <w:t xml:space="preserve">Технический регламент таможенного союза </w:t>
            </w:r>
            <w:proofErr w:type="gramStart"/>
            <w:r w:rsidRPr="0072514A">
              <w:rPr>
                <w:rFonts w:eastAsia="Calibri"/>
                <w:i/>
                <w:iCs/>
                <w:color w:val="auto"/>
                <w:lang w:eastAsia="en-US"/>
              </w:rPr>
              <w:t>ТР</w:t>
            </w:r>
            <w:proofErr w:type="gramEnd"/>
            <w:r w:rsidRPr="0072514A">
              <w:rPr>
                <w:rFonts w:eastAsia="Calibri"/>
                <w:i/>
                <w:iCs/>
                <w:color w:val="auto"/>
                <w:lang w:eastAsia="en-US"/>
              </w:rPr>
              <w:t xml:space="preserve"> ТС </w:t>
            </w:r>
            <w:r w:rsidRPr="0072514A">
              <w:rPr>
                <w:rFonts w:eastAsia="Calibri"/>
                <w:i/>
                <w:iCs/>
                <w:color w:val="auto"/>
                <w:lang w:eastAsia="en-US"/>
              </w:rPr>
              <w:lastRenderedPageBreak/>
              <w:t>008/2011 «О безопасности игрушек»</w:t>
            </w:r>
            <w:r>
              <w:rPr>
                <w:rFonts w:eastAsia="Calibri"/>
                <w:i/>
                <w:iCs/>
                <w:color w:val="auto"/>
                <w:lang w:eastAsia="en-US"/>
              </w:rPr>
              <w:t>)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12. 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Мебель соответствует требованиям, установленным техническими регламентами</w:t>
            </w:r>
          </w:p>
          <w:p w:rsidR="00D53998" w:rsidRPr="0072514A" w:rsidRDefault="00D53998" w:rsidP="00B416B8">
            <w:pPr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Технический регламент таможенного союза </w:t>
            </w:r>
            <w:proofErr w:type="gramStart"/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proofErr w:type="gramEnd"/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ТС 025/2012 «О безопасности мебельной продукции»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Pr="009B261B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13. 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На оборудование, мебель, средства обучения имеются сертификаты соответствия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E80FFD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14. Технологическое оборудование пищеблока соответствует требованиям </w:t>
            </w:r>
            <w:proofErr w:type="spellStart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53998" w:rsidRPr="00E80FFD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приложение 4 </w:t>
            </w:r>
            <w:proofErr w:type="spellStart"/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2.4.1.3049-13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E80FFD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15. 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Наличие паспортов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технологическое оборудование пищеблока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 Т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ехнологическое оборудование </w:t>
            </w:r>
            <w:proofErr w:type="spellStart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постирочной</w:t>
            </w:r>
            <w:proofErr w:type="spellEnd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ует требованиям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53998" w:rsidRPr="00E80FFD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приложение 4 </w:t>
            </w:r>
            <w:proofErr w:type="spellStart"/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>СанПиН</w:t>
            </w:r>
            <w:proofErr w:type="spellEnd"/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2.4.1.3049-13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Pr="00E80FFD" w:rsidRDefault="00D53998" w:rsidP="00B416B8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17. 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Наличие паспортов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технологическое оборудование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постирочной</w:t>
            </w:r>
            <w:proofErr w:type="spellEnd"/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Pr="00660D60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D6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Соответствие оборудования, мебели, средств обучения требованиям охраны труда и пожарной безопасности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На оборудование, мебель, средства обучения имеются сертификаты качества 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Наличие актов испытания или поверки оборудования и т.д. на текущий год 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Исправность крепления стационарной детской мебели к стенам или полу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Наличие записей в журнале о результатах испытания спортивного оборудования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замечаний в Журнале административно-общественного контроля по охране труда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5D338E">
              <w:rPr>
                <w:rFonts w:ascii="Times New Roman" w:hAnsi="Times New Roman"/>
                <w:sz w:val="24"/>
                <w:szCs w:val="24"/>
              </w:rPr>
              <w:t>несоответствие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Наличие актов-разрешений на эксплуатацию оборудования и инвентаря в спортивном зале и на территории ДОО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Отсутствие предписаний надзорных органов в области охраны труда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Отсутствие предписаний надзорных органов в области пожарной безопасности</w:t>
            </w:r>
          </w:p>
        </w:tc>
        <w:tc>
          <w:tcPr>
            <w:tcW w:w="2125" w:type="dxa"/>
          </w:tcPr>
          <w:p w:rsidR="00D53998" w:rsidRPr="005D338E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Start"/>
            <w:r w:rsidRPr="00660D60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60D60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89"/>
        </w:trPr>
        <w:tc>
          <w:tcPr>
            <w:tcW w:w="6087" w:type="dxa"/>
          </w:tcPr>
          <w:p w:rsidR="00D53998" w:rsidRDefault="00D53998" w:rsidP="00B416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D53998" w:rsidRPr="00EB1C2A" w:rsidRDefault="00D53998" w:rsidP="00B416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</w:t>
            </w:r>
            <w:proofErr w:type="gramStart"/>
            <w:r w:rsidRPr="00EB1C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1C2A">
              <w:rPr>
                <w:rFonts w:ascii="Times New Roman" w:hAnsi="Times New Roman"/>
                <w:sz w:val="24"/>
                <w:szCs w:val="24"/>
              </w:rPr>
              <w:t>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D53998" w:rsidRPr="00EB1C2A" w:rsidRDefault="00D53998" w:rsidP="00B416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53998" w:rsidRPr="00F67202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Количество положительных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(+):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D53998" w:rsidRDefault="00D53998" w:rsidP="00D53998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отрицательных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(-):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100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(указать </w:t>
      </w:r>
      <w:proofErr w:type="gramStart"/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%)</w:t>
      </w:r>
    </w:p>
    <w:p w:rsidR="00D53998" w:rsidRPr="007D758D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D53998" w:rsidRDefault="00D53998" w:rsidP="00D539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D53998" w:rsidRPr="007D758D" w:rsidRDefault="00D53998" w:rsidP="00D53998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D53998" w:rsidRPr="007D758D" w:rsidRDefault="00D53998" w:rsidP="00D53998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D53998" w:rsidRDefault="00D53998" w:rsidP="00D539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D53998" w:rsidRPr="007D758D" w:rsidRDefault="00D53998" w:rsidP="00D539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3"/>
        <w:tblW w:w="7370" w:type="dxa"/>
        <w:jc w:val="center"/>
        <w:tblLook w:val="04A0"/>
      </w:tblPr>
      <w:tblGrid>
        <w:gridCol w:w="2694"/>
        <w:gridCol w:w="1701"/>
        <w:gridCol w:w="2975"/>
      </w:tblGrid>
      <w:tr w:rsidR="00D53998" w:rsidRPr="007D758D" w:rsidTr="00B416B8">
        <w:trPr>
          <w:jc w:val="center"/>
        </w:trPr>
        <w:tc>
          <w:tcPr>
            <w:tcW w:w="2694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53998" w:rsidTr="00B416B8">
        <w:trPr>
          <w:jc w:val="center"/>
        </w:trPr>
        <w:tc>
          <w:tcPr>
            <w:tcW w:w="2694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D53998" w:rsidTr="00B416B8">
        <w:trPr>
          <w:jc w:val="center"/>
        </w:trPr>
        <w:tc>
          <w:tcPr>
            <w:tcW w:w="2694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D53998" w:rsidTr="00B416B8">
        <w:trPr>
          <w:jc w:val="center"/>
        </w:trPr>
        <w:tc>
          <w:tcPr>
            <w:tcW w:w="2694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D53998" w:rsidTr="00B416B8">
        <w:trPr>
          <w:jc w:val="center"/>
        </w:trPr>
        <w:tc>
          <w:tcPr>
            <w:tcW w:w="2694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D53998" w:rsidRDefault="00D53998" w:rsidP="00B416B8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53998" w:rsidRPr="00EA045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Материально-техническая база в дошкольном учреждении соответствует</w:t>
      </w: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требованиям нормативно-правовых актов и основной образовательной программе дошкольного образования. 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Материально-техническая база ДОО обеспечивает реализацию образовательного потенциала пространства групповых и функциональных помещений, территории ДОО на высоком уровне. Степень обеспечения техническими средствами (компьютеры, видеотехника и др.) образовательного процесса соответствует требованиям основной образовательной программы оптимальная (достаточная, допустимая).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Оборудование, мебель, средств обучения в дошкольной образовательной организации соответствуют требованиям </w:t>
      </w:r>
      <w:proofErr w:type="spell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Оборудование, мебель соответствует росту и возрасту детей, стулья и столы одной группы мебели, промаркированы. Оборудование, мебель, </w:t>
      </w:r>
      <w:proofErr w:type="gram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средства обучения, имеющиеся в ДОО изготовлены</w:t>
      </w:r>
      <w:proofErr w:type="gram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материалов, безвредных для здоровья детей, что подтверждается сертификатами соответствия (декларациями соответствия).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Технологическое оборудование пищеблока и </w:t>
      </w:r>
      <w:proofErr w:type="spell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постирочной</w:t>
      </w:r>
      <w:proofErr w:type="spell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соответствует  современным требованиям.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Имеющееся в ДОО оборудование, мебель, средства обучения соответствуют требованиям охраны труда и пожарной безопасности. Это подтверждается наличием сертификатов качества (деклараций соответствия). Имеется Журнал испытания спортивного оборудования, заполняемый в установленные сроки. Во всех групповых и функциональных помещениях имеется Журнал административно-общественного контроля по охране труда, куда вносятся записи о неисправностях, журнал заполнен, </w:t>
      </w:r>
      <w:proofErr w:type="spell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неустраненные</w:t>
      </w:r>
      <w:proofErr w:type="spell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замечания отсутствуют (имеются). В ДОО имеются акты-разрешения на оборудование и инвентарь.</w:t>
      </w:r>
    </w:p>
    <w:p w:rsidR="00D53998" w:rsidRPr="003A48FF" w:rsidRDefault="00D53998" w:rsidP="00D5399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53998" w:rsidRPr="000A5B75" w:rsidRDefault="00D53998" w:rsidP="00D53998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</w:t>
      </w:r>
      <w:r w:rsidRPr="00BF4ED3">
        <w:rPr>
          <w:rFonts w:ascii="Times New Roman" w:hAnsi="Times New Roman"/>
          <w:b/>
          <w:sz w:val="28"/>
          <w:szCs w:val="28"/>
        </w:rPr>
        <w:t>дача № 2</w:t>
      </w:r>
      <w:r w:rsidRPr="00BF4ED3">
        <w:rPr>
          <w:rFonts w:ascii="Times New Roman" w:hAnsi="Times New Roman"/>
          <w:sz w:val="28"/>
          <w:szCs w:val="28"/>
        </w:rPr>
        <w:t>.</w:t>
      </w:r>
      <w:r w:rsidRPr="000A5B75">
        <w:rPr>
          <w:rFonts w:ascii="Times New Roman" w:hAnsi="Times New Roman"/>
          <w:sz w:val="28"/>
          <w:szCs w:val="28"/>
        </w:rPr>
        <w:t>Оценить своевременность проведения необходимого ремонта здания</w:t>
      </w:r>
      <w:r>
        <w:rPr>
          <w:rFonts w:ascii="Times New Roman" w:hAnsi="Times New Roman"/>
          <w:sz w:val="28"/>
          <w:szCs w:val="28"/>
        </w:rPr>
        <w:t xml:space="preserve">, обновления и замены </w:t>
      </w:r>
      <w:r w:rsidRPr="000A5B75">
        <w:rPr>
          <w:rFonts w:ascii="Times New Roman" w:hAnsi="Times New Roman"/>
          <w:sz w:val="28"/>
          <w:szCs w:val="28"/>
        </w:rPr>
        <w:t>оборудовани</w:t>
      </w:r>
      <w:proofErr w:type="gramStart"/>
      <w:r w:rsidRPr="000A5B75">
        <w:rPr>
          <w:rFonts w:ascii="Times New Roman" w:hAnsi="Times New Roman"/>
          <w:sz w:val="28"/>
          <w:szCs w:val="28"/>
        </w:rPr>
        <w:t>я(</w:t>
      </w:r>
      <w:proofErr w:type="gramEnd"/>
      <w:r w:rsidRPr="000A5B75">
        <w:rPr>
          <w:rFonts w:ascii="Times New Roman" w:hAnsi="Times New Roman"/>
          <w:sz w:val="28"/>
          <w:szCs w:val="28"/>
        </w:rPr>
        <w:t>водоснабжения, канализации, вентиляции, освещения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2"/>
        <w:gridCol w:w="2125"/>
        <w:gridCol w:w="992"/>
        <w:gridCol w:w="1076"/>
      </w:tblGrid>
      <w:tr w:rsidR="00D53998" w:rsidRPr="004D5D19" w:rsidTr="00B416B8">
        <w:tc>
          <w:tcPr>
            <w:tcW w:w="6122" w:type="dxa"/>
          </w:tcPr>
          <w:p w:rsidR="00D53998" w:rsidRPr="004D5D19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D53998" w:rsidRPr="004D5D19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D53998" w:rsidRPr="004D5D19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D53998" w:rsidRPr="004D5D19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3998" w:rsidRPr="004D5D19" w:rsidRDefault="00D53998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53998" w:rsidRPr="00BD3485" w:rsidTr="00B416B8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Pr="00F62859" w:rsidRDefault="00D53998" w:rsidP="00B416B8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Выполнение плана ремонтных работ на текущий и плановый период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52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актов осмотра объектов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Pr="00F62859" w:rsidRDefault="00D53998" w:rsidP="00B416B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Оперативное информирование Учредителя (наличие докладных (служебных записок) на Учредителя)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94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Наличие проектно-сметной документации, прошедшей утверждение в организациях, уполномоченных заниматься данным видом деятельности на территории города Челябинска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1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Наличие договоров (контрактов) на проведение ремонтных работ, технического обслуживания инженерных сетей и вентиляции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97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Наличие договоров (контрактов) на проведение ремонтных работ, технического обслуживания вентиляции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Наличие договоров (контрактов) на проведение ремонтных работ, технического обслуживания электрических сетей и установок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94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Ведение Журнала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производством работ и их приемка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1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Наличие актов выполненных работ</w:t>
            </w:r>
          </w:p>
        </w:tc>
        <w:tc>
          <w:tcPr>
            <w:tcW w:w="2125" w:type="dxa"/>
          </w:tcPr>
          <w:p w:rsidR="00D53998" w:rsidRPr="00E80FFD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97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Расходование средств на ремонтные работы в соответствии с планом ФХД, планом закупок, планом-графиком закупок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561"/>
        </w:trPr>
        <w:tc>
          <w:tcPr>
            <w:tcW w:w="6122" w:type="dxa"/>
          </w:tcPr>
          <w:p w:rsidR="00D53998" w:rsidRDefault="00D53998" w:rsidP="00B416B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A145FA">
              <w:rPr>
                <w:rFonts w:ascii="Times New Roman" w:hAnsi="Times New Roman"/>
                <w:sz w:val="24"/>
                <w:szCs w:val="24"/>
              </w:rPr>
              <w:t>Эффективность планово-прогностической деятельности по обеспечению товарами и услугами сторонних организаций, необходимыми для деятельности ДОУ</w:t>
            </w:r>
          </w:p>
        </w:tc>
        <w:tc>
          <w:tcPr>
            <w:tcW w:w="2125" w:type="dxa"/>
          </w:tcPr>
          <w:p w:rsidR="00D53998" w:rsidRDefault="00D53998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998" w:rsidRPr="00BD3485" w:rsidTr="00B416B8">
        <w:trPr>
          <w:trHeight w:val="634"/>
        </w:trPr>
        <w:tc>
          <w:tcPr>
            <w:tcW w:w="6122" w:type="dxa"/>
          </w:tcPr>
          <w:p w:rsidR="00D53998" w:rsidRDefault="00D53998" w:rsidP="00B416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D53998" w:rsidRDefault="00D53998" w:rsidP="00B416B8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</w:t>
            </w:r>
            <w:proofErr w:type="gramStart"/>
            <w:r w:rsidRPr="00EB1C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1C2A">
              <w:rPr>
                <w:rFonts w:ascii="Times New Roman" w:hAnsi="Times New Roman"/>
                <w:sz w:val="24"/>
                <w:szCs w:val="24"/>
              </w:rPr>
              <w:t>екомендации по подведению итогов оценивания)</w:t>
            </w:r>
          </w:p>
        </w:tc>
        <w:tc>
          <w:tcPr>
            <w:tcW w:w="4193" w:type="dxa"/>
            <w:gridSpan w:val="3"/>
          </w:tcPr>
          <w:p w:rsidR="00D53998" w:rsidRPr="00BD3485" w:rsidRDefault="00D53998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53998" w:rsidRPr="00F67202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Количество положительных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D53998" w:rsidRDefault="00D53998" w:rsidP="00D53998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  <w:proofErr w:type="gramEnd"/>
    </w:p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(указать </w:t>
      </w:r>
      <w:proofErr w:type="gramStart"/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%)</w:t>
      </w:r>
    </w:p>
    <w:p w:rsidR="00D53998" w:rsidRPr="007D758D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D53998" w:rsidRDefault="00D53998" w:rsidP="00D539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w:lastRenderedPageBreak/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D53998" w:rsidRPr="007D758D" w:rsidRDefault="00D53998" w:rsidP="00D53998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D53998" w:rsidRPr="007D758D" w:rsidRDefault="00D53998" w:rsidP="00D53998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D53998" w:rsidRDefault="00D53998" w:rsidP="00D539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3 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D53998" w:rsidRPr="007D758D" w:rsidRDefault="00D53998" w:rsidP="00D539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3"/>
        <w:tblW w:w="7370" w:type="dxa"/>
        <w:jc w:val="center"/>
        <w:tblLook w:val="04A0"/>
      </w:tblPr>
      <w:tblGrid>
        <w:gridCol w:w="2694"/>
        <w:gridCol w:w="1701"/>
        <w:gridCol w:w="2975"/>
      </w:tblGrid>
      <w:tr w:rsidR="00D53998" w:rsidRPr="007D758D" w:rsidTr="00B416B8">
        <w:trPr>
          <w:jc w:val="center"/>
        </w:trPr>
        <w:tc>
          <w:tcPr>
            <w:tcW w:w="2694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53998" w:rsidTr="00B416B8">
        <w:trPr>
          <w:jc w:val="center"/>
        </w:trPr>
        <w:tc>
          <w:tcPr>
            <w:tcW w:w="2694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D53998" w:rsidTr="00B416B8">
        <w:trPr>
          <w:jc w:val="center"/>
        </w:trPr>
        <w:tc>
          <w:tcPr>
            <w:tcW w:w="2694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D53998" w:rsidTr="00B416B8">
        <w:trPr>
          <w:jc w:val="center"/>
        </w:trPr>
        <w:tc>
          <w:tcPr>
            <w:tcW w:w="2694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D53998" w:rsidRPr="007D758D" w:rsidRDefault="00D53998" w:rsidP="00B416B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D53998" w:rsidTr="00B416B8">
        <w:trPr>
          <w:jc w:val="center"/>
        </w:trPr>
        <w:tc>
          <w:tcPr>
            <w:tcW w:w="2694" w:type="dxa"/>
          </w:tcPr>
          <w:p w:rsidR="00D53998" w:rsidRDefault="00D53998" w:rsidP="00B416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D53998" w:rsidRDefault="00D53998" w:rsidP="00B416B8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53998" w:rsidRDefault="00D53998" w:rsidP="00D53998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41C3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НОРМАТИВНО-ПРАВОВАЯ БАЗА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: </w:t>
      </w:r>
    </w:p>
    <w:p w:rsidR="00D53998" w:rsidRPr="00D41C35" w:rsidRDefault="00D53998" w:rsidP="00D539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письму Минфин России от 19.01.2015 № 02-05/932 «Методические рекомендации по осуществлению внутреннего финансового контроля»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Справочник руководителя дошкольного учреждения. - № 5. – 2015. – С. 81-93. </w:t>
      </w:r>
    </w:p>
    <w:p w:rsidR="00D53998" w:rsidRPr="00D41C35" w:rsidRDefault="00D53998" w:rsidP="00D539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53998" w:rsidRPr="003A48FF" w:rsidRDefault="00D53998" w:rsidP="00D539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 приказом Министерства образований и науки Российской Федерации от17.10.2013г. №1155 [Электронный ресурс]. – Режим доступа: </w:t>
      </w:r>
      <w:hyperlink r:id="rId5" w:history="1"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edugid</w:t>
        </w:r>
        <w:proofErr w:type="spellEnd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zakon</w:t>
        </w:r>
        <w:proofErr w:type="spellEnd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ob</w:t>
        </w:r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obrazovanii</w:t>
        </w:r>
        <w:proofErr w:type="spellEnd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v</w:t>
        </w:r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C0630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rf</w:t>
        </w:r>
        <w:proofErr w:type="spellEnd"/>
      </w:hyperlink>
    </w:p>
    <w:p w:rsidR="00D53998" w:rsidRPr="00D41C35" w:rsidRDefault="00D53998" w:rsidP="00D53998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Методические рекомендации:</w:t>
      </w:r>
    </w:p>
    <w:p w:rsidR="00D53998" w:rsidRPr="00D41C35" w:rsidRDefault="00D53998" w:rsidP="00D539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Карабанова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О.А.</w:t>
      </w: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развивающей предметно-пространственной среды в </w:t>
      </w: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соответсвии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О.А. Карабанова, Э.В. Алиева. </w:t>
      </w: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– М.: Федеральный институт развития образования, 2014.- 96 </w:t>
      </w:r>
      <w:proofErr w:type="gram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3998" w:rsidRPr="00D41C35" w:rsidRDefault="00D53998" w:rsidP="00D539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Медведникова, Л.Ф. Организация ремонта в дошкольном учреждении / Л.Ф. Медведникова. – Справочник руководителя дошкольного учреждения. - № 4. – 2010. – С. 28-31.</w:t>
      </w:r>
    </w:p>
    <w:p w:rsidR="00D53998" w:rsidRPr="00D41C35" w:rsidRDefault="00D53998" w:rsidP="00D539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Управлением качеством образовательного процесса в современном детском саду / Н.В. </w:t>
      </w: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. – Управление дошкольным образовательным учреждением. - № 4. – 2015. – С. 41-50.</w:t>
      </w:r>
    </w:p>
    <w:p w:rsidR="00D53998" w:rsidRPr="00D41C35" w:rsidRDefault="00D53998" w:rsidP="00D5399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Нагога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, И.М. Позитивный имидж ДОУ: особенности формирования / И.М. </w:t>
      </w: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Нагога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. – Практика управления ДОУ. - № 7. – 2013. – С. 16-28.</w:t>
      </w:r>
    </w:p>
    <w:p w:rsidR="00D53998" w:rsidRDefault="00D53998" w:rsidP="00D539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D53998" w:rsidRPr="00EF103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FF">
        <w:rPr>
          <w:rFonts w:ascii="Times New Roman" w:hAnsi="Times New Roman"/>
          <w:sz w:val="28"/>
          <w:szCs w:val="28"/>
        </w:rPr>
        <w:t xml:space="preserve">В дошкольном учреждении на высоком уровне осуществляется работа </w:t>
      </w:r>
      <w:proofErr w:type="spellStart"/>
      <w:r w:rsidRPr="003A48FF">
        <w:rPr>
          <w:rFonts w:ascii="Times New Roman" w:hAnsi="Times New Roman"/>
          <w:sz w:val="28"/>
          <w:szCs w:val="28"/>
        </w:rPr>
        <w:t>пообеспечению</w:t>
      </w:r>
      <w:proofErr w:type="spellEnd"/>
      <w:r w:rsidRPr="003A48FF">
        <w:rPr>
          <w:rFonts w:ascii="Times New Roman" w:hAnsi="Times New Roman"/>
          <w:sz w:val="28"/>
          <w:szCs w:val="28"/>
        </w:rPr>
        <w:t xml:space="preserve"> проведения необходимого ремонта здания, обновления и замены оборудования. В ДОУ обеспечено своевременное планирование, финансирование и качественное проведение необходимого ремонта здания и замены оборудования (водоснабжения, канализации, вентиляции, освещения). Все работы выполняются своевременно (не достаточно своевременно - указать показатели, которые не выполняются). Деятельность дошкольного учреждения обеспечена необходимыми товарами и услугами сторонних организаций.</w:t>
      </w:r>
    </w:p>
    <w:p w:rsidR="00D53998" w:rsidRPr="00EF103F" w:rsidRDefault="00D53998" w:rsidP="00D5399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53998" w:rsidRPr="00EF103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Обеспечить </w:t>
      </w:r>
      <w:proofErr w:type="spell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трансформируемость</w:t>
      </w:r>
      <w:proofErr w:type="spell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образовательного пространства в зависимости от образовательной ситуации, интересов и возможностей детей, вариативность использования различных пространств (помещений) и материалов (игрушек, оборудования и пр.) для стимулирования развития детей, свободный доступ детей, в том числе с ограниченными возможностями физического здоровья и детей-инвалидов, к игрушкам, материалам, пособиям и техническим средствам среды.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Обеспечить оптимальные технико-технологические условия для эффективного использования </w:t>
      </w:r>
      <w:proofErr w:type="spellStart"/>
      <w:proofErr w:type="gram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ИКТ-технологий</w:t>
      </w:r>
      <w:proofErr w:type="spellEnd"/>
      <w:proofErr w:type="gram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образовательной деятельности, высокий уровень информационной культуры всех участников образовательных отношений, информационное взаимодействие с родителями воспитанников посредством сайта дошкольного образовательного учреждения.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Обеспечить </w:t>
      </w:r>
      <w:proofErr w:type="gram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полное</w:t>
      </w:r>
      <w:proofErr w:type="gram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соответствиеоборудования</w:t>
      </w:r>
      <w:proofErr w:type="spell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мебели, средств обучения, игрушек в ДОО «Санитарно-эпидемиологическим требованиям к устройству, содержанию и организации режима работы дошкольных образовательных организаций».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Провести модернизацию технологического оборудования </w:t>
      </w:r>
      <w:proofErr w:type="spellStart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постирочной</w:t>
      </w:r>
      <w:proofErr w:type="spellEnd"/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пищеблока.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Усилить контроль своевременным заполнением Журнал испытания спортивного оборудования, Журнала административно-общественного контроля по охране труда.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Обеспечить исполнение в полном объеме предписаний надзорных органов.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Обеспечить своевременное проведение необходимого ремонта здания и замены оборудования (водоснабжения, канализации, вентиляции, освещения).</w:t>
      </w:r>
    </w:p>
    <w:p w:rsidR="00D53998" w:rsidRPr="003A48FF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48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Своевременно обеспечивать деятельность дошкольной образовательной организации товарами и услугами сторонних организаций, исходя из актуальных потребностей ДОУ.</w:t>
      </w:r>
    </w:p>
    <w:p w:rsidR="00D53998" w:rsidRDefault="00D53998" w:rsidP="00D53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53998" w:rsidRPr="00EF103F" w:rsidRDefault="00D53998" w:rsidP="00D53998">
      <w:pPr>
        <w:spacing w:after="0" w:line="240" w:lineRule="auto"/>
        <w:rPr>
          <w:rStyle w:val="a4"/>
        </w:rPr>
      </w:pPr>
    </w:p>
    <w:p w:rsidR="00DD5776" w:rsidRDefault="00DD5776"/>
    <w:sectPr w:rsidR="00DD5776" w:rsidSect="00D143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79E"/>
    <w:multiLevelType w:val="hybridMultilevel"/>
    <w:tmpl w:val="1E2A70F6"/>
    <w:lvl w:ilvl="0" w:tplc="B5B20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98"/>
    <w:rsid w:val="00727769"/>
    <w:rsid w:val="00D53998"/>
    <w:rsid w:val="00D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5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53998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D539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9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gid.ru/zakon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2021-04-26T11:28:00Z</dcterms:created>
  <dcterms:modified xsi:type="dcterms:W3CDTF">2021-04-26T11:28:00Z</dcterms:modified>
</cp:coreProperties>
</file>